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F3EF72A">
      <w:pPr>
        <w:spacing w:after="80"/>
        <w:rPr>
          <w:rFonts w:hint="default"/>
          <w:b/>
          <w:bCs/>
          <w:color w:val="9C7A3C"/>
          <w:sz w:val="20"/>
          <w:szCs w:val="20"/>
          <w:lang w:val="fr-FR"/>
        </w:rPr>
      </w:pPr>
      <w:r>
        <w:rPr>
          <w:rFonts w:hint="default"/>
          <w:b/>
          <w:bCs/>
          <w:color w:val="9C7A3C"/>
          <w:sz w:val="20"/>
          <w:szCs w:val="20"/>
          <w:lang w:val="fr-FR"/>
        </w:rPr>
        <w:t>Site: https://www.espace-sante.info/</w:t>
      </w:r>
    </w:p>
    <w:p w14:paraId="1F400DFE">
      <w:pPr>
        <w:spacing w:after="80"/>
      </w:pPr>
      <w:r>
        <w:rPr>
          <w:b/>
          <w:bCs/>
          <w:sz w:val="20"/>
          <w:szCs w:val="20"/>
        </w:rPr>
        <w:t xml:space="preserve">Meta title : </w:t>
      </w:r>
      <w:r>
        <w:rPr>
          <w:sz w:val="20"/>
          <w:szCs w:val="20"/>
        </w:rPr>
        <w:t>Fontaine à eau Evopure ToBeSure : avis, prix, fiche (51 caractères)</w:t>
      </w:r>
    </w:p>
    <w:p w14:paraId="296AF5FF">
      <w:pPr>
        <w:spacing w:after="80"/>
      </w:pPr>
      <w:r>
        <w:rPr>
          <w:b/>
          <w:bCs/>
          <w:sz w:val="20"/>
          <w:szCs w:val="20"/>
        </w:rPr>
        <w:t xml:space="preserve">Meta description : </w:t>
      </w:r>
      <w:r>
        <w:rPr>
          <w:sz w:val="20"/>
          <w:szCs w:val="20"/>
        </w:rPr>
        <w:t>Vous hésitez sur la fontaine à eau Evopure ToBeSure ? Découvrez son prix, ses avis clients et sa fiche technique avant d'acheter. (129 caractères, style question)</w:t>
      </w:r>
    </w:p>
    <w:p w14:paraId="51BD3339">
      <w:pPr>
        <w:spacing w:after="80"/>
      </w:pPr>
      <w:r>
        <w:rPr>
          <w:b/>
          <w:bCs/>
          <w:sz w:val="20"/>
          <w:szCs w:val="20"/>
        </w:rPr>
        <w:t xml:space="preserve">Mot-clé principal : </w:t>
      </w:r>
      <w:r>
        <w:rPr>
          <w:sz w:val="20"/>
          <w:szCs w:val="20"/>
        </w:rPr>
        <w:t>fontaine à eau Evopure ToBeSure</w:t>
      </w:r>
    </w:p>
    <w:p w14:paraId="7992BE03">
      <w:pPr>
        <w:spacing w:after="300"/>
      </w:pPr>
      <w:r>
        <w:rPr>
          <w:color w:val="CCCCCC"/>
          <w:sz w:val="18"/>
          <w:szCs w:val="18"/>
        </w:rPr>
        <w:t>——————————————————————————————</w:t>
      </w:r>
    </w:p>
    <w:p w14:paraId="04C8F1B6">
      <w:pPr>
        <w:pStyle w:val="2"/>
        <w:spacing w:before="200" w:after="200"/>
      </w:pPr>
      <w:bookmarkStart w:id="0" w:name="_GoBack"/>
      <w:r>
        <w:rPr>
          <w:b/>
          <w:bCs/>
          <w:color w:val="1A1A1A"/>
          <w:sz w:val="32"/>
          <w:szCs w:val="32"/>
        </w:rPr>
        <w:t>Fontaine à eau Evopure ToBeSure : avis, prix et caractéristiques</w:t>
      </w:r>
    </w:p>
    <w:bookmarkEnd w:id="0"/>
    <w:p w14:paraId="6C0587A6">
      <w:pPr>
        <w:spacing w:after="160"/>
      </w:pPr>
      <w:r>
        <w:rPr>
          <w:sz w:val="22"/>
          <w:szCs w:val="22"/>
        </w:rPr>
        <w:t>Vous cherchez une fontaine à eau fiable pour votre bureau, votre cabinet médical ou votre EHPAD ? La fontaine à eau Evopure ToBeSure® coche plusieurs cases à la fois : sécurité sanitaire, design compact et fabrication française.</w:t>
      </w:r>
    </w:p>
    <w:p w14:paraId="7AFD4C4A">
      <w:pPr>
        <w:spacing w:after="160"/>
      </w:pPr>
      <w:r>
        <w:rPr>
          <w:sz w:val="22"/>
          <w:szCs w:val="22"/>
        </w:rPr>
        <w:t>Dans cet article, on répond directement à la question que tout le monde se pose avant d'acheter : est-ce que cette fontaine mérite son prix ? On passe en revue son fonctionnement, ses avis clients, son tarif indicatif et sa fiche technique complète, point par point.</w:t>
      </w:r>
    </w:p>
    <w:p w14:paraId="23C766DC">
      <w:pPr>
        <w:pStyle w:val="3"/>
        <w:spacing w:before="300" w:after="120"/>
      </w:pPr>
      <w:r>
        <w:rPr>
          <w:b/>
          <w:bCs/>
          <w:color w:val="9C7A3C"/>
          <w:sz w:val="26"/>
          <w:szCs w:val="26"/>
        </w:rPr>
        <w:t>Qu'est-ce que la fontaine à eau Evopure ToBeSure ?</w:t>
      </w:r>
    </w:p>
    <w:p w14:paraId="37E4E156">
      <w:pPr>
        <w:spacing w:after="160"/>
      </w:pPr>
      <w:r>
        <w:rPr>
          <w:sz w:val="22"/>
          <w:szCs w:val="22"/>
        </w:rPr>
        <w:t xml:space="preserve">La fontaine à eau Evopure ToBeSure® fait partie de la gamme des fontaines dites « sécurisées ». Elle se raccorde directement au réseau d'eau, sans bonbonne, et intègre un système de désinfection UV qui traite l'eau à chaque utilisation. </w:t>
      </w:r>
      <w:r>
        <w:rPr>
          <w:sz w:val="22"/>
          <w:szCs w:val="22"/>
        </w:rPr>
        <w:fldChar w:fldCharType="begin"/>
      </w:r>
      <w:r>
        <w:rPr>
          <w:sz w:val="22"/>
          <w:szCs w:val="22"/>
        </w:rPr>
        <w:instrText xml:space="preserve"> HYPERLINK "https://gobeletsetcompagnie.fr/fontaine-a-eau-secteur-medical/385-fontaine-a-eau-evopure-tobesure.html" </w:instrText>
      </w:r>
      <w:r>
        <w:rPr>
          <w:sz w:val="22"/>
          <w:szCs w:val="22"/>
        </w:rPr>
        <w:fldChar w:fldCharType="separate"/>
      </w:r>
      <w:r>
        <w:rPr>
          <w:rStyle w:val="9"/>
          <w:sz w:val="22"/>
          <w:szCs w:val="22"/>
        </w:rPr>
        <w:t xml:space="preserve">Commandez votre Fontaine à eau Evopure ToBeSure® EF-ET-EC </w:t>
      </w:r>
      <w:r>
        <w:rPr>
          <w:sz w:val="22"/>
          <w:szCs w:val="22"/>
        </w:rPr>
        <w:fldChar w:fldCharType="end"/>
      </w:r>
      <w:r>
        <w:rPr>
          <w:sz w:val="22"/>
          <w:szCs w:val="22"/>
        </w:rPr>
        <w:t>dès aujourd'hui pour sécuriser l'approvisionnement en eau de vos équipes, avec une livraison généralement sous 24 à 48h.</w:t>
      </w:r>
    </w:p>
    <w:p w14:paraId="605C904F">
      <w:pPr>
        <w:spacing w:after="160"/>
      </w:pPr>
      <w:r>
        <w:rPr>
          <w:sz w:val="22"/>
          <w:szCs w:val="22"/>
        </w:rPr>
        <w:t>Concrètement, cette fontaine délivre de l'eau froide, tempérée, voire chaude selon la version choisie. Elle vise avant tout les environnements professionnels : bureaux, salles de pause, cabinets médicaux, EHPAD ou établissements recevant du public sensible.</w:t>
      </w:r>
    </w:p>
    <w:p w14:paraId="4603689B">
      <w:pPr>
        <w:spacing w:after="160"/>
      </w:pPr>
      <w:r>
        <w:rPr>
          <w:sz w:val="22"/>
          <w:szCs w:val="22"/>
        </w:rPr>
        <w:t>Sa carrosserie compacte s'intègre facilement, même dans un espace réduit. Pas besoin de local technique dédié : un simple point d'eau et une prise électrique suffisent.</w:t>
      </w:r>
    </w:p>
    <w:p w14:paraId="1AF0BED4">
      <w:pPr>
        <w:pStyle w:val="3"/>
        <w:spacing w:before="300" w:after="120"/>
      </w:pPr>
      <w:r>
        <w:rPr>
          <w:b/>
          <w:bCs/>
          <w:color w:val="9C7A3C"/>
          <w:sz w:val="26"/>
          <w:szCs w:val="26"/>
        </w:rPr>
        <w:t>Comment fonctionne le système de désinfection UV ToBeSure® ?</w:t>
      </w:r>
    </w:p>
    <w:p w14:paraId="40B028F4">
      <w:pPr>
        <w:spacing w:after="160"/>
      </w:pPr>
      <w:r>
        <w:rPr>
          <w:sz w:val="22"/>
          <w:szCs w:val="22"/>
        </w:rPr>
        <w:t>Le nom « ToBeSure® » n'est pas un hasard. Il désigne un procédé de désinfection par rayonnement ultraviolet, appliqué à chaque cycle de distribution. L'eau passe dans une chambre UV, puis dans un concentrateur qui amplifie l'effet germicide.</w:t>
      </w:r>
    </w:p>
    <w:p w14:paraId="58E0F50B">
      <w:pPr>
        <w:pStyle w:val="4"/>
        <w:spacing w:before="200" w:after="100"/>
      </w:pPr>
      <w:r>
        <w:rPr>
          <w:b/>
          <w:bCs/>
          <w:color w:val="1A1A1A"/>
          <w:sz w:val="23"/>
          <w:szCs w:val="23"/>
        </w:rPr>
        <w:t>Une purification en trois étapes</w:t>
      </w:r>
    </w:p>
    <w:p w14:paraId="0243EBC5">
      <w:pPr>
        <w:spacing w:after="160"/>
      </w:pPr>
      <w:r>
        <w:rPr>
          <w:sz w:val="22"/>
          <w:szCs w:val="22"/>
        </w:rPr>
        <w:t>Premièrement, l'eau du réseau entre dans la chambre de désinfection UV. Deuxièmement, un concentrateur UV intensifie le traitement pour neutraliser bactéries et germes en quelques millisecondes. Troisièmement, l'eau ressort purifiée, prête à être bue immédiatement, sans temps d'attente.</w:t>
      </w:r>
    </w:p>
    <w:p w14:paraId="4EBD960C">
      <w:pPr>
        <w:pStyle w:val="4"/>
        <w:spacing w:before="200" w:after="100"/>
      </w:pPr>
      <w:r>
        <w:rPr>
          <w:b/>
          <w:bCs/>
          <w:color w:val="1A1A1A"/>
          <w:sz w:val="23"/>
          <w:szCs w:val="23"/>
        </w:rPr>
        <w:t>Un traitement antibactérien complémentaire</w:t>
      </w:r>
    </w:p>
    <w:p w14:paraId="23908009">
      <w:pPr>
        <w:spacing w:after="160"/>
      </w:pPr>
      <w:r>
        <w:rPr>
          <w:sz w:val="22"/>
          <w:szCs w:val="22"/>
        </w:rPr>
        <w:t>En plus du traitement UV interne, la carrosserie reçoit un revêtement AGION, un traitement antibactérien de surface. L'objectif est simple : limiter la rétro-contamination au niveau des robinets, souvent le point faible des fontaines classiques.</w:t>
      </w:r>
    </w:p>
    <w:p w14:paraId="2149A5CC">
      <w:pPr>
        <w:spacing w:after="160"/>
      </w:pPr>
      <w:r>
        <w:rPr>
          <w:sz w:val="22"/>
          <w:szCs w:val="22"/>
        </w:rPr>
        <w:t>Un témoin visuel signale l'état du système de désinfection. Autre indicateur pratique : celui du bac récupérateur, pour éviter tout débordement au quotidien.</w:t>
      </w:r>
    </w:p>
    <w:p w14:paraId="74F4EF0E">
      <w:pPr>
        <w:pStyle w:val="3"/>
        <w:spacing w:before="300" w:after="120"/>
      </w:pPr>
      <w:r>
        <w:rPr>
          <w:b/>
          <w:bCs/>
          <w:color w:val="9C7A3C"/>
          <w:sz w:val="26"/>
          <w:szCs w:val="26"/>
        </w:rPr>
        <w:t>Fiche technique de la fontaine Evopure ToBeSure</w:t>
      </w:r>
    </w:p>
    <w:p w14:paraId="2E36FB3E">
      <w:pPr>
        <w:spacing w:after="160"/>
      </w:pPr>
      <w:r>
        <w:rPr>
          <w:sz w:val="22"/>
          <w:szCs w:val="22"/>
        </w:rPr>
        <w:t>Voici les données techniques à connaître avant d'acheter. Elles peuvent varier légèrement selon le modèle exact et le distributeur, donc vérifiez toujours la fiche produit avant commande.</w:t>
      </w:r>
    </w:p>
    <w:tbl>
      <w:tblPr>
        <w:tblStyle w:val="15"/>
        <w:tblW w:w="9400"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 w:type="dxa"/>
          <w:bottom w:w="0" w:type="dxa"/>
          <w:right w:w="10" w:type="dxa"/>
        </w:tblCellMar>
      </w:tblPr>
      <w:tblGrid>
        <w:gridCol w:w="3600"/>
        <w:gridCol w:w="5800"/>
      </w:tblGrid>
      <w:tr w14:paraId="0DB88D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c>
          <w:tcPr>
            <w:tcW w:w="3600" w:type="dxa"/>
            <w:shd w:val="clear" w:color="auto" w:fill="F2E9D8"/>
          </w:tcPr>
          <w:p w14:paraId="634BEE35">
            <w:r>
              <w:rPr>
                <w:b/>
                <w:bCs/>
                <w:sz w:val="20"/>
                <w:szCs w:val="20"/>
              </w:rPr>
              <w:t>Caractéristique</w:t>
            </w:r>
          </w:p>
        </w:tc>
        <w:tc>
          <w:tcPr>
            <w:tcW w:w="5800" w:type="dxa"/>
            <w:shd w:val="clear" w:color="auto" w:fill="F2E9D8"/>
          </w:tcPr>
          <w:p w14:paraId="059BE6DD">
            <w:r>
              <w:rPr>
                <w:sz w:val="20"/>
                <w:szCs w:val="20"/>
              </w:rPr>
              <w:t>Détail</w:t>
            </w:r>
          </w:p>
        </w:tc>
      </w:tr>
      <w:tr w14:paraId="0F84E1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c>
          <w:tcPr>
            <w:tcW w:w="3600" w:type="dxa"/>
          </w:tcPr>
          <w:p w14:paraId="121F9E28">
            <w:r>
              <w:rPr>
                <w:b/>
                <w:bCs/>
                <w:sz w:val="20"/>
                <w:szCs w:val="20"/>
              </w:rPr>
              <w:t>Débit global</w:t>
            </w:r>
          </w:p>
        </w:tc>
        <w:tc>
          <w:tcPr>
            <w:tcW w:w="5800" w:type="dxa"/>
          </w:tcPr>
          <w:p w14:paraId="4B5DA2EE">
            <w:r>
              <w:rPr>
                <w:sz w:val="20"/>
                <w:szCs w:val="20"/>
              </w:rPr>
              <w:t>environ 100 L/h</w:t>
            </w:r>
          </w:p>
        </w:tc>
      </w:tr>
      <w:tr w14:paraId="49F203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c>
          <w:tcPr>
            <w:tcW w:w="3600" w:type="dxa"/>
          </w:tcPr>
          <w:p w14:paraId="39AE67F4">
            <w:r>
              <w:rPr>
                <w:b/>
                <w:bCs/>
                <w:sz w:val="20"/>
                <w:szCs w:val="20"/>
              </w:rPr>
              <w:t>Production eau froide</w:t>
            </w:r>
          </w:p>
        </w:tc>
        <w:tc>
          <w:tcPr>
            <w:tcW w:w="5800" w:type="dxa"/>
          </w:tcPr>
          <w:p w14:paraId="784899B3">
            <w:r>
              <w:rPr>
                <w:sz w:val="20"/>
                <w:szCs w:val="20"/>
              </w:rPr>
              <w:t>environ 40 L/h</w:t>
            </w:r>
          </w:p>
        </w:tc>
      </w:tr>
      <w:tr w14:paraId="4B668F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c>
          <w:tcPr>
            <w:tcW w:w="3600" w:type="dxa"/>
          </w:tcPr>
          <w:p w14:paraId="6BD4596C">
            <w:r>
              <w:rPr>
                <w:b/>
                <w:bCs/>
                <w:sz w:val="20"/>
                <w:szCs w:val="20"/>
              </w:rPr>
              <w:t>Température eau froide en sortie</w:t>
            </w:r>
          </w:p>
        </w:tc>
        <w:tc>
          <w:tcPr>
            <w:tcW w:w="5800" w:type="dxa"/>
          </w:tcPr>
          <w:p w14:paraId="64883E43">
            <w:r>
              <w:rPr>
                <w:sz w:val="20"/>
                <w:szCs w:val="20"/>
              </w:rPr>
              <w:t>6 à 12 °C</w:t>
            </w:r>
          </w:p>
        </w:tc>
      </w:tr>
      <w:tr w14:paraId="302223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c>
          <w:tcPr>
            <w:tcW w:w="3600" w:type="dxa"/>
          </w:tcPr>
          <w:p w14:paraId="5F47950E">
            <w:r>
              <w:rPr>
                <w:b/>
                <w:bCs/>
                <w:sz w:val="20"/>
                <w:szCs w:val="20"/>
              </w:rPr>
              <w:t>Température eau chaude en sortie (version EC)</w:t>
            </w:r>
          </w:p>
        </w:tc>
        <w:tc>
          <w:tcPr>
            <w:tcW w:w="5800" w:type="dxa"/>
          </w:tcPr>
          <w:p w14:paraId="6FE877CE">
            <w:r>
              <w:rPr>
                <w:sz w:val="20"/>
                <w:szCs w:val="20"/>
              </w:rPr>
              <w:t>75 à 80 °C</w:t>
            </w:r>
          </w:p>
        </w:tc>
      </w:tr>
      <w:tr w14:paraId="0F5834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c>
          <w:tcPr>
            <w:tcW w:w="3600" w:type="dxa"/>
          </w:tcPr>
          <w:p w14:paraId="2BF2FE77">
            <w:r>
              <w:rPr>
                <w:b/>
                <w:bCs/>
                <w:sz w:val="20"/>
                <w:szCs w:val="20"/>
              </w:rPr>
              <w:t>Réfrigération</w:t>
            </w:r>
          </w:p>
        </w:tc>
        <w:tc>
          <w:tcPr>
            <w:tcW w:w="5800" w:type="dxa"/>
          </w:tcPr>
          <w:p w14:paraId="53685999">
            <w:r>
              <w:rPr>
                <w:sz w:val="20"/>
                <w:szCs w:val="20"/>
              </w:rPr>
              <w:t>système à détente directe, gaz naturel R600A</w:t>
            </w:r>
          </w:p>
        </w:tc>
      </w:tr>
      <w:tr w14:paraId="4DDB88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c>
          <w:tcPr>
            <w:tcW w:w="3600" w:type="dxa"/>
          </w:tcPr>
          <w:p w14:paraId="6BE6D62B">
            <w:r>
              <w:rPr>
                <w:b/>
                <w:bCs/>
                <w:sz w:val="20"/>
                <w:szCs w:val="20"/>
              </w:rPr>
              <w:t>Alimentation</w:t>
            </w:r>
          </w:p>
        </w:tc>
        <w:tc>
          <w:tcPr>
            <w:tcW w:w="5800" w:type="dxa"/>
          </w:tcPr>
          <w:p w14:paraId="4F0AFB51">
            <w:r>
              <w:rPr>
                <w:sz w:val="20"/>
                <w:szCs w:val="20"/>
              </w:rPr>
              <w:t>raccordement réseau, vanne d'arrêt, raccord 20/27 mâle</w:t>
            </w:r>
          </w:p>
        </w:tc>
      </w:tr>
      <w:tr w14:paraId="79AA13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c>
          <w:tcPr>
            <w:tcW w:w="3600" w:type="dxa"/>
          </w:tcPr>
          <w:p w14:paraId="4634BE64">
            <w:r>
              <w:rPr>
                <w:b/>
                <w:bCs/>
                <w:sz w:val="20"/>
                <w:szCs w:val="20"/>
              </w:rPr>
              <w:t>Désinfection</w:t>
            </w:r>
          </w:p>
        </w:tc>
        <w:tc>
          <w:tcPr>
            <w:tcW w:w="5800" w:type="dxa"/>
          </w:tcPr>
          <w:p w14:paraId="736108DA">
            <w:r>
              <w:rPr>
                <w:sz w:val="20"/>
                <w:szCs w:val="20"/>
              </w:rPr>
              <w:t>UV ToBeSure® + revêtement antibactérien AGION</w:t>
            </w:r>
          </w:p>
        </w:tc>
      </w:tr>
      <w:tr w14:paraId="3EBE95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c>
          <w:tcPr>
            <w:tcW w:w="3600" w:type="dxa"/>
          </w:tcPr>
          <w:p w14:paraId="1A43FFF8">
            <w:r>
              <w:rPr>
                <w:b/>
                <w:bCs/>
                <w:sz w:val="20"/>
                <w:szCs w:val="20"/>
              </w:rPr>
              <w:t>Versions</w:t>
            </w:r>
          </w:p>
        </w:tc>
        <w:tc>
          <w:tcPr>
            <w:tcW w:w="5800" w:type="dxa"/>
          </w:tcPr>
          <w:p w14:paraId="267D6848">
            <w:r>
              <w:rPr>
                <w:sz w:val="20"/>
                <w:szCs w:val="20"/>
              </w:rPr>
              <w:t>EF-ET (sortie unique) ou EF-ET-EC (deux sorties)</w:t>
            </w:r>
          </w:p>
        </w:tc>
      </w:tr>
      <w:tr w14:paraId="449FE6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c>
          <w:tcPr>
            <w:tcW w:w="3600" w:type="dxa"/>
          </w:tcPr>
          <w:p w14:paraId="6840A31A">
            <w:r>
              <w:rPr>
                <w:b/>
                <w:bCs/>
                <w:sz w:val="20"/>
                <w:szCs w:val="20"/>
              </w:rPr>
              <w:t>Options</w:t>
            </w:r>
          </w:p>
        </w:tc>
        <w:tc>
          <w:tcPr>
            <w:tcW w:w="5800" w:type="dxa"/>
          </w:tcPr>
          <w:p w14:paraId="05B9E3A9">
            <w:r>
              <w:rPr>
                <w:sz w:val="20"/>
                <w:szCs w:val="20"/>
              </w:rPr>
              <w:t>sans contact (pédale ou infrarouge, sélection à distance)</w:t>
            </w:r>
          </w:p>
        </w:tc>
      </w:tr>
      <w:tr w14:paraId="1F1CD0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c>
          <w:tcPr>
            <w:tcW w:w="3600" w:type="dxa"/>
          </w:tcPr>
          <w:p w14:paraId="473B3ED3">
            <w:r>
              <w:rPr>
                <w:b/>
                <w:bCs/>
                <w:sz w:val="20"/>
                <w:szCs w:val="20"/>
              </w:rPr>
              <w:t>Garantie constructeur</w:t>
            </w:r>
          </w:p>
        </w:tc>
        <w:tc>
          <w:tcPr>
            <w:tcW w:w="5800" w:type="dxa"/>
          </w:tcPr>
          <w:p w14:paraId="24C8C6E7">
            <w:r>
              <w:rPr>
                <w:sz w:val="20"/>
                <w:szCs w:val="20"/>
              </w:rPr>
              <w:t>généralement 2 ans</w:t>
            </w:r>
          </w:p>
        </w:tc>
      </w:tr>
      <w:tr w14:paraId="5183C1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c>
          <w:tcPr>
            <w:tcW w:w="3600" w:type="dxa"/>
          </w:tcPr>
          <w:p w14:paraId="0323789B">
            <w:r>
              <w:rPr>
                <w:b/>
                <w:bCs/>
                <w:sz w:val="20"/>
                <w:szCs w:val="20"/>
              </w:rPr>
              <w:t>Fabrication</w:t>
            </w:r>
          </w:p>
        </w:tc>
        <w:tc>
          <w:tcPr>
            <w:tcW w:w="5800" w:type="dxa"/>
          </w:tcPr>
          <w:p w14:paraId="39A692DE">
            <w:r>
              <w:rPr>
                <w:sz w:val="20"/>
                <w:szCs w:val="20"/>
              </w:rPr>
              <w:t>France</w:t>
            </w:r>
          </w:p>
        </w:tc>
      </w:tr>
    </w:tbl>
    <w:p w14:paraId="564B844D">
      <w:pPr>
        <w:spacing w:after="160"/>
      </w:pPr>
    </w:p>
    <w:p w14:paraId="6BA5D27F">
      <w:pPr>
        <w:pStyle w:val="3"/>
        <w:spacing w:before="300" w:after="120"/>
      </w:pPr>
      <w:r>
        <w:rPr>
          <w:b/>
          <w:bCs/>
          <w:color w:val="9C7A3C"/>
          <w:sz w:val="26"/>
          <w:szCs w:val="26"/>
        </w:rPr>
        <w:t>Les différentes versions disponibles</w:t>
      </w:r>
    </w:p>
    <w:p w14:paraId="35E0F564">
      <w:pPr>
        <w:spacing w:after="160"/>
      </w:pPr>
      <w:r>
        <w:rPr>
          <w:sz w:val="22"/>
          <w:szCs w:val="22"/>
        </w:rPr>
        <w:t>Deux configurations principales existent, avec une déclinaison sans contact pour chacune d'elles.</w:t>
      </w:r>
    </w:p>
    <w:p w14:paraId="0EE6D5FF">
      <w:pPr>
        <w:pStyle w:val="4"/>
        <w:spacing w:before="200" w:after="100"/>
      </w:pPr>
      <w:r>
        <w:rPr>
          <w:b/>
          <w:bCs/>
          <w:color w:val="1A1A1A"/>
          <w:sz w:val="23"/>
          <w:szCs w:val="23"/>
        </w:rPr>
        <w:t>Version EF-ET : eau froide et tempérée</w:t>
      </w:r>
    </w:p>
    <w:p w14:paraId="17092047">
      <w:pPr>
        <w:spacing w:after="160"/>
      </w:pPr>
      <w:r>
        <w:rPr>
          <w:sz w:val="22"/>
          <w:szCs w:val="22"/>
        </w:rPr>
        <w:t>Cette version propose une sortie unique pour l'eau froide et l'eau tempérée. Elle convient bien aux bureaux classiques, où l'eau chaude n'est pas indispensable au quotidien.</w:t>
      </w:r>
    </w:p>
    <w:p w14:paraId="1DC55A0B">
      <w:pPr>
        <w:pStyle w:val="4"/>
        <w:spacing w:before="200" w:after="100"/>
      </w:pPr>
      <w:r>
        <w:rPr>
          <w:b/>
          <w:bCs/>
          <w:color w:val="1A1A1A"/>
          <w:sz w:val="23"/>
          <w:szCs w:val="23"/>
        </w:rPr>
        <w:t>Version EF-ET-EC : eau froide, tempérée et chaude</w:t>
      </w:r>
    </w:p>
    <w:p w14:paraId="2BC694E9">
      <w:pPr>
        <w:spacing w:after="160"/>
      </w:pPr>
      <w:r>
        <w:rPr>
          <w:sz w:val="22"/>
          <w:szCs w:val="22"/>
        </w:rPr>
        <w:t>Ici, deux sorties distinctes permettent d'ajouter l'eau chaude, utile pour préparer un thé ou un café instantané. C'est la version la plus polyvalente, adaptée aux salles de pause et aux espaces recevant du public.</w:t>
      </w:r>
    </w:p>
    <w:p w14:paraId="66698544">
      <w:pPr>
        <w:pStyle w:val="4"/>
        <w:spacing w:before="200" w:after="100"/>
      </w:pPr>
      <w:r>
        <w:rPr>
          <w:b/>
          <w:bCs/>
          <w:color w:val="1A1A1A"/>
          <w:sz w:val="23"/>
          <w:szCs w:val="23"/>
        </w:rPr>
        <w:t>Options sans contact : pédale ou infrarouge</w:t>
      </w:r>
    </w:p>
    <w:p w14:paraId="5B57328E">
      <w:pPr>
        <w:spacing w:after="160"/>
      </w:pPr>
      <w:r>
        <w:rPr>
          <w:sz w:val="22"/>
          <w:szCs w:val="22"/>
        </w:rPr>
        <w:t>Pour renforcer l'hygiène, une option sans contact existe : distribution à la pédale, ou par capteur infrarouge avec sélection à distance. Un vrai plus en cabinet médical ou en EHPAD, là où le contact manuel répété pose question.</w:t>
      </w:r>
    </w:p>
    <w:p w14:paraId="5147DB7E">
      <w:pPr>
        <w:pStyle w:val="3"/>
        <w:spacing w:before="300" w:after="120"/>
      </w:pPr>
      <w:r>
        <w:rPr>
          <w:b/>
          <w:bCs/>
          <w:color w:val="9C7A3C"/>
          <w:sz w:val="26"/>
          <w:szCs w:val="26"/>
        </w:rPr>
        <w:t>Prix de la fontaine Evopure ToBeSure</w:t>
      </w:r>
    </w:p>
    <w:p w14:paraId="3D3E876B">
      <w:pPr>
        <w:spacing w:after="160"/>
      </w:pPr>
      <w:r>
        <w:rPr>
          <w:sz w:val="22"/>
          <w:szCs w:val="22"/>
        </w:rPr>
        <w:t>Le tarif dépend surtout de la version choisie et des options sans contact. Sur le marché professionnel français, comptez généralement entre 1000 et 1400 € HT pour une fontaine Evopure ToBeSure, hors frais d'installation éventuels.</w:t>
      </w:r>
    </w:p>
    <w:p w14:paraId="083BCFFC">
      <w:pPr>
        <w:spacing w:after="160"/>
      </w:pPr>
      <w:r>
        <w:rPr>
          <w:sz w:val="22"/>
          <w:szCs w:val="22"/>
        </w:rPr>
        <w:t>La version EF-ET, plus simple, se positionne en général en bas de cette fourchette. La version EF-ET-EC avec option sans contact tire le prix vers le haut.</w:t>
      </w:r>
    </w:p>
    <w:p w14:paraId="30DAA37B">
      <w:pPr>
        <w:spacing w:after="160"/>
      </w:pPr>
      <w:r>
        <w:rPr>
          <w:sz w:val="22"/>
          <w:szCs w:val="22"/>
        </w:rPr>
        <w:t>Pour connaître le tarif exact correspondant à votre configuration, le plus fiable reste de demander un devis personnalisé ou de consulter directement la fiche produit avant validation de commande.</w:t>
      </w:r>
    </w:p>
    <w:p w14:paraId="63F874F3">
      <w:pPr>
        <w:pStyle w:val="3"/>
        <w:spacing w:before="300" w:after="120"/>
      </w:pPr>
      <w:r>
        <w:rPr>
          <w:b/>
          <w:bCs/>
          <w:color w:val="9C7A3C"/>
          <w:sz w:val="26"/>
          <w:szCs w:val="26"/>
        </w:rPr>
        <w:t>Avis clients : ce qu'on en retient</w:t>
      </w:r>
    </w:p>
    <w:p w14:paraId="1239B0D9">
      <w:pPr>
        <w:spacing w:after="160"/>
      </w:pPr>
      <w:r>
        <w:rPr>
          <w:sz w:val="22"/>
          <w:szCs w:val="22"/>
        </w:rPr>
        <w:t>Les retours sur ce type de fontaine sécurisée reviennent souvent sur les mêmes points. Le premier concerne la tranquillité d'esprit apportée par la désinfection UV, un argument qui rassure particulièrement dans le secteur médical.</w:t>
      </w:r>
    </w:p>
    <w:p w14:paraId="167CE9F1">
      <w:pPr>
        <w:spacing w:after="160"/>
      </w:pPr>
      <w:r>
        <w:rPr>
          <w:sz w:val="22"/>
          <w:szCs w:val="22"/>
        </w:rPr>
        <w:t>Le deuxième point positif cité est le format compact, apprécié dans les bureaux où l'espace est compté. Le point de vigilance, en revanche, porte sur le prix d'achat, plus élevé qu'une fontaine à bonbonne classique, et sur l'entretien du filtre, à surveiller régulièrement.</w:t>
      </w:r>
    </w:p>
    <w:p w14:paraId="2545F2E5">
      <w:pPr>
        <w:spacing w:after="160"/>
      </w:pPr>
      <w:r>
        <w:rPr>
          <w:sz w:val="22"/>
          <w:szCs w:val="22"/>
        </w:rPr>
        <w:t>Globalement, le rapport qualité-sécurité convainc surtout les structures qui accueillent du public ou des personnes fragiles, où l'hygiène de l'eau devient un critère non négociable.</w:t>
      </w:r>
    </w:p>
    <w:p w14:paraId="52636E92">
      <w:pPr>
        <w:pStyle w:val="3"/>
        <w:spacing w:before="300" w:after="120"/>
      </w:pPr>
      <w:r>
        <w:rPr>
          <w:b/>
          <w:bCs/>
          <w:color w:val="9C7A3C"/>
          <w:sz w:val="26"/>
          <w:szCs w:val="26"/>
        </w:rPr>
        <w:t>Pour qui est faite cette fontaine ?</w:t>
      </w:r>
    </w:p>
    <w:p w14:paraId="05CC3D59">
      <w:pPr>
        <w:spacing w:after="160"/>
      </w:pPr>
      <w:r>
        <w:rPr>
          <w:sz w:val="22"/>
          <w:szCs w:val="22"/>
        </w:rPr>
        <w:t>Trois profils tirent particulièrement parti de cette fontaine. Les entreprises, d'abord, qui veulent proposer une eau de qualité à leurs équipes sans gérer de stock de bonbonnes.</w:t>
      </w:r>
    </w:p>
    <w:p w14:paraId="49AD4692">
      <w:pPr>
        <w:spacing w:after="160"/>
      </w:pPr>
      <w:r>
        <w:rPr>
          <w:sz w:val="22"/>
          <w:szCs w:val="22"/>
        </w:rPr>
        <w:t xml:space="preserve">Le secteur médical et les EHPAD, ensuite, où </w:t>
      </w:r>
      <w:r>
        <w:rPr>
          <w:sz w:val="22"/>
          <w:szCs w:val="22"/>
        </w:rPr>
        <w:fldChar w:fldCharType="begin"/>
      </w:r>
      <w:r>
        <w:rPr>
          <w:sz w:val="22"/>
          <w:szCs w:val="22"/>
        </w:rPr>
        <w:instrText xml:space="preserve"> HYPERLINK "https://www.lesoleil.com/communiques-de-presse/2026/05/04/h2o-innovation-fait-son-entree-sur-le-marche-de-la-desinfection-par-uv-grace-a-lacquisition-de-bestuv-HMGNLUXQNBDGXHVEICAI6HMVUU/" </w:instrText>
      </w:r>
      <w:r>
        <w:rPr>
          <w:sz w:val="22"/>
          <w:szCs w:val="22"/>
        </w:rPr>
        <w:fldChar w:fldCharType="separate"/>
      </w:r>
      <w:r>
        <w:rPr>
          <w:rStyle w:val="9"/>
          <w:sz w:val="22"/>
          <w:szCs w:val="22"/>
        </w:rPr>
        <w:t>la désinfection UV</w:t>
      </w:r>
      <w:r>
        <w:rPr>
          <w:sz w:val="22"/>
          <w:szCs w:val="22"/>
        </w:rPr>
        <w:fldChar w:fldCharType="end"/>
      </w:r>
      <w:r>
        <w:rPr>
          <w:sz w:val="22"/>
          <w:szCs w:val="22"/>
        </w:rPr>
        <w:t xml:space="preserve"> répond à des exigences sanitaires strictes. Enfin, les établissements recevant du public, comme les administrations ou les salles d'attente, où la sécurité de l'eau est directement visible par les usagers.</w:t>
      </w:r>
    </w:p>
    <w:p w14:paraId="5448F608">
      <w:pPr>
        <w:spacing w:after="160"/>
      </w:pPr>
    </w:p>
    <w:sectPr>
      <w:pgSz w:w="11906" w:h="16838"/>
      <w:pgMar w:top="1440" w:right="1440" w:bottom="1440" w:left="1440" w:header="708" w:footer="708" w:gutter="0"/>
      <w:cols w:space="720" w:num="1"/>
      <w:docGrid w:linePitch="360"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SimSun"/>
    <w:panose1 w:val="02010600030101010101"/>
    <w:charset w:val="86"/>
    <w:family w:val="auto"/>
    <w:pitch w:val="variable"/>
    <w:sig w:usb0="00000003" w:usb1="080E0000" w:usb2="00000010" w:usb3="00000000" w:csb0="00040001" w:csb1="00000000"/>
  </w:font>
  <w:font w:name="SimSun">
    <w:panose1 w:val="02010600030101010101"/>
    <w:charset w:val="86"/>
    <w:family w:val="auto"/>
    <w:pitch w:val="default"/>
    <w:sig w:usb0="00000203" w:usb1="288F0000" w:usb2="00000006" w:usb3="00000000" w:csb0="00040001" w:csb1="00000000"/>
  </w:font>
  <w:font w:name="Arial">
    <w:panose1 w:val="020B0604020202020204"/>
    <w:charset w:val="00"/>
    <w:family w:val="swiss"/>
    <w:pitch w:val="default"/>
    <w:sig w:usb0="E0002EFF" w:usb1="C000785B" w:usb2="00000009" w:usb3="00000000" w:csb0="400001FF" w:csb1="FFFF0000"/>
  </w:font>
  <w:font w:name="黑体">
    <w:altName w:val="SimSun"/>
    <w:panose1 w:val="02010609060101010101"/>
    <w:charset w:val="86"/>
    <w:family w:val="modern"/>
    <w:pitch w:val="default"/>
    <w:sig w:usb0="800002BF" w:usb1="38CF7CFA" w:usb2="00000016" w:usb3="00000000" w:csb0="00040001" w:csb1="00000000"/>
  </w:font>
  <w:font w:name="Courier New">
    <w:panose1 w:val="02070309020205020404"/>
    <w:charset w:val="00"/>
    <w:family w:val="modern"/>
    <w:pitch w:val="default"/>
    <w:sig w:usb0="E0002EFF" w:usb1="C0007843" w:usb2="00000009" w:usb3="00000000" w:csb0="400001FF" w:csb1="FFFF0000"/>
  </w:font>
  <w:font w:name="Wingdings">
    <w:panose1 w:val="05000000000000000000"/>
    <w:charset w:val="02"/>
    <w:family w:val="auto"/>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displayBackgroundShape w:val="1"/>
  <w:documentProtection w:enforcement="0"/>
  <w:compat>
    <w:compatSetting w:name="compatibilityMode" w:uri="http://schemas.microsoft.com/office/word" w:val="15"/>
  </w:compat>
  <w:rsids>
    <w:rsidRoot w:val="00000000"/>
    <w:rsid w:val="578865CA"/>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nhideWhenUsed="0" w:uiPriority="0" w:semiHidden="0" w:name="heading 4"/>
    <w:lsdException w:qFormat="1" w:unhideWhenUsed="0" w:uiPriority="0" w:semiHidden="0" w:name="heading 5"/>
    <w:lsdException w:qFormat="1" w:unhideWhenUsed="0" w:uiPriority="0" w:semiHidden="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iPriority="99"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iPriority="99" w:name="footnote reference"/>
    <w:lsdException w:unhideWhenUsed="0" w:uiPriority="0" w:semiHidden="0" w:name="annotation reference"/>
    <w:lsdException w:unhideWhenUsed="0" w:uiPriority="0" w:semiHidden="0" w:name="line number"/>
    <w:lsdException w:unhideWhenUsed="0" w:uiPriority="0" w:semiHidden="0" w:name="page number"/>
    <w:lsdException w:uiPriority="99" w:name="endnote reference"/>
    <w:lsdException w:uiPriority="99"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iPriority="99"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Balloon Text"/>
    <w:lsdException w:qFormat="1" w:unhideWhenUsed="0" w:uiPriority="0" w:semiHidden="0" w:name="List Paragraph"/>
  </w:latentStyles>
  <w:style w:type="paragraph" w:default="1" w:styleId="1">
    <w:name w:val="Normal"/>
    <w:qFormat/>
    <w:uiPriority w:val="0"/>
    <w:pPr>
      <w:widowControl w:val="0"/>
      <w:jc w:val="both"/>
    </w:pPr>
    <w:rPr>
      <w:sz w:val="21"/>
      <w:szCs w:val="22"/>
    </w:rPr>
  </w:style>
  <w:style w:type="paragraph" w:styleId="2">
    <w:name w:val="heading 1"/>
    <w:next w:val="1"/>
    <w:qFormat/>
    <w:uiPriority w:val="0"/>
    <w:rPr>
      <w:color w:val="2E74B5"/>
      <w:sz w:val="32"/>
      <w:szCs w:val="32"/>
    </w:rPr>
  </w:style>
  <w:style w:type="paragraph" w:styleId="3">
    <w:name w:val="heading 2"/>
    <w:next w:val="1"/>
    <w:qFormat/>
    <w:uiPriority w:val="0"/>
    <w:rPr>
      <w:color w:val="2E74B5"/>
      <w:sz w:val="26"/>
      <w:szCs w:val="26"/>
    </w:rPr>
  </w:style>
  <w:style w:type="paragraph" w:styleId="4">
    <w:name w:val="heading 3"/>
    <w:next w:val="1"/>
    <w:qFormat/>
    <w:uiPriority w:val="0"/>
    <w:rPr>
      <w:color w:val="1F4D78"/>
      <w:sz w:val="24"/>
      <w:szCs w:val="24"/>
    </w:rPr>
  </w:style>
  <w:style w:type="paragraph" w:styleId="5">
    <w:name w:val="heading 4"/>
    <w:next w:val="1"/>
    <w:qFormat/>
    <w:uiPriority w:val="0"/>
    <w:rPr>
      <w:i/>
      <w:iCs/>
      <w:color w:val="2E74B5"/>
      <w:sz w:val="21"/>
      <w:szCs w:val="22"/>
    </w:rPr>
  </w:style>
  <w:style w:type="paragraph" w:styleId="6">
    <w:name w:val="heading 5"/>
    <w:next w:val="1"/>
    <w:qFormat/>
    <w:uiPriority w:val="0"/>
    <w:rPr>
      <w:color w:val="2E74B5"/>
      <w:sz w:val="21"/>
      <w:szCs w:val="22"/>
    </w:rPr>
  </w:style>
  <w:style w:type="paragraph" w:styleId="7">
    <w:name w:val="heading 6"/>
    <w:next w:val="1"/>
    <w:qFormat/>
    <w:uiPriority w:val="0"/>
    <w:rPr>
      <w:color w:val="1F4D78"/>
      <w:sz w:val="21"/>
      <w:szCs w:val="22"/>
    </w:rPr>
  </w:style>
  <w:style w:type="character" w:default="1" w:styleId="8">
    <w:name w:val="Default Paragraph Font"/>
    <w:semiHidden/>
    <w:qFormat/>
    <w:uiPriority w:val="0"/>
  </w:style>
  <w:style w:type="table" w:default="1" w:styleId="15">
    <w:name w:val="Normal Table"/>
    <w:semiHidden/>
    <w:uiPriority w:val="0"/>
    <w:tblPr>
      <w:tblCellMar>
        <w:top w:w="0" w:type="dxa"/>
        <w:left w:w="108" w:type="dxa"/>
        <w:bottom w:w="0" w:type="dxa"/>
        <w:right w:w="108" w:type="dxa"/>
      </w:tblCellMar>
    </w:tblPr>
  </w:style>
  <w:style w:type="character" w:styleId="9">
    <w:name w:val="Hyperlink"/>
    <w:unhideWhenUsed/>
    <w:uiPriority w:val="99"/>
    <w:rPr>
      <w:color w:val="0563C1"/>
      <w:u w:val="single"/>
    </w:rPr>
  </w:style>
  <w:style w:type="character" w:styleId="10">
    <w:name w:val="footnote reference"/>
    <w:semiHidden/>
    <w:unhideWhenUsed/>
    <w:uiPriority w:val="99"/>
    <w:rPr>
      <w:vertAlign w:val="superscript"/>
    </w:rPr>
  </w:style>
  <w:style w:type="character" w:styleId="11">
    <w:name w:val="endnote reference"/>
    <w:semiHidden/>
    <w:unhideWhenUsed/>
    <w:uiPriority w:val="99"/>
    <w:rPr>
      <w:vertAlign w:val="superscript"/>
    </w:rPr>
  </w:style>
  <w:style w:type="paragraph" w:styleId="12">
    <w:name w:val="endnote text"/>
    <w:link w:val="18"/>
    <w:semiHidden/>
    <w:unhideWhenUsed/>
    <w:uiPriority w:val="99"/>
    <w:pPr>
      <w:spacing w:after="0" w:line="240" w:lineRule="auto"/>
    </w:pPr>
    <w:rPr>
      <w:sz w:val="20"/>
      <w:szCs w:val="20"/>
    </w:rPr>
  </w:style>
  <w:style w:type="paragraph" w:styleId="13">
    <w:name w:val="footnote text"/>
    <w:link w:val="17"/>
    <w:semiHidden/>
    <w:unhideWhenUsed/>
    <w:uiPriority w:val="99"/>
    <w:pPr>
      <w:spacing w:after="0" w:line="240" w:lineRule="auto"/>
    </w:pPr>
    <w:rPr>
      <w:sz w:val="20"/>
      <w:szCs w:val="20"/>
    </w:rPr>
  </w:style>
  <w:style w:type="paragraph" w:styleId="14">
    <w:name w:val="Title"/>
    <w:qFormat/>
    <w:uiPriority w:val="0"/>
    <w:rPr>
      <w:sz w:val="56"/>
      <w:szCs w:val="56"/>
    </w:rPr>
  </w:style>
  <w:style w:type="paragraph" w:styleId="16">
    <w:name w:val="List Paragraph"/>
    <w:qFormat/>
    <w:uiPriority w:val="0"/>
    <w:rPr>
      <w:sz w:val="21"/>
      <w:szCs w:val="22"/>
    </w:rPr>
  </w:style>
  <w:style w:type="character" w:customStyle="1" w:styleId="17">
    <w:name w:val="Footnote Text Char"/>
    <w:link w:val="13"/>
    <w:semiHidden/>
    <w:unhideWhenUsed/>
    <w:uiPriority w:val="99"/>
    <w:rPr>
      <w:sz w:val="20"/>
      <w:szCs w:val="20"/>
    </w:rPr>
  </w:style>
  <w:style w:type="character" w:customStyle="1" w:styleId="18">
    <w:name w:val="Endnote Text Char"/>
    <w:link w:val="12"/>
    <w:semiHidden/>
    <w:unhideWhenUsed/>
    <w:uiPriority w:val="99"/>
    <w:rPr>
      <w:sz w:val="20"/>
      <w:szCs w:val="20"/>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Pages>3</Pages>
  <TotalTime>5</TotalTime>
  <ScaleCrop>false</ScaleCrop>
  <LinksUpToDate>false</LinksUpToDate>
  <Application>WPS Office_12.2.0.23206_F1E327BC-269C-435d-A152-05C5408002CA</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2026-07-31T12:20:00Z</dcterms:created>
  <dc:creator>Un-named</dc:creator>
  <cp:lastModifiedBy>Tojo Fetratina</cp:lastModifiedBy>
  <dcterms:modified xsi:type="dcterms:W3CDTF">2026-07-31T12:27:25Z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3084-12.2.0.23206</vt:lpwstr>
  </property>
  <property fmtid="{D5CDD505-2E9C-101B-9397-08002B2CF9AE}" pid="3" name="ICV">
    <vt:lpwstr>2686BFD7AB814546BBDA575127051798_12</vt:lpwstr>
  </property>
</Properties>
</file>